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4A37DEC1" w:rsidR="43EF102C" w:rsidRDefault="6D30196F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6D30196F">
        <w:rPr>
          <w:rFonts w:ascii="Times New Roman" w:hAnsi="Times New Roman"/>
          <w:sz w:val="28"/>
          <w:szCs w:val="28"/>
        </w:rPr>
        <w:t xml:space="preserve">Учащаяся: 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proofErr w:type="spellStart"/>
      <w:r w:rsidRPr="6D30196F">
        <w:rPr>
          <w:rFonts w:ascii="Times New Roman" w:hAnsi="Times New Roman"/>
          <w:sz w:val="28"/>
          <w:szCs w:val="28"/>
        </w:rPr>
        <w:t>Гимбатова</w:t>
      </w:r>
      <w:proofErr w:type="spellEnd"/>
      <w:r w:rsidRPr="6D3019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6D30196F">
        <w:rPr>
          <w:rFonts w:ascii="Times New Roman" w:hAnsi="Times New Roman"/>
          <w:sz w:val="28"/>
          <w:szCs w:val="28"/>
        </w:rPr>
        <w:t>Хадижат</w:t>
      </w:r>
      <w:proofErr w:type="spellEnd"/>
    </w:p>
    <w:p w14:paraId="7A9B7797" w14:textId="087C839D" w:rsidR="43EF102C" w:rsidRDefault="6D30196F" w:rsidP="43EF102C">
      <w:pPr>
        <w:spacing w:after="0" w:line="240" w:lineRule="auto"/>
      </w:pPr>
      <w:r w:rsidRPr="6D30196F">
        <w:rPr>
          <w:rFonts w:ascii="Times New Roman" w:hAnsi="Times New Roman"/>
          <w:sz w:val="28"/>
          <w:szCs w:val="28"/>
        </w:rPr>
        <w:t>предмет: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6D30196F">
        <w:rPr>
          <w:rFonts w:ascii="Times New Roman" w:hAnsi="Times New Roman"/>
          <w:sz w:val="28"/>
          <w:szCs w:val="28"/>
        </w:rPr>
        <w:t>Биология</w:t>
      </w:r>
    </w:p>
    <w:p w14:paraId="7A3FE230" w14:textId="1E7A2106" w:rsidR="43EF102C" w:rsidRDefault="6D30196F" w:rsidP="43EF102C">
      <w:pPr>
        <w:spacing w:after="0" w:line="240" w:lineRule="auto"/>
      </w:pPr>
      <w:r w:rsidRPr="6D30196F">
        <w:rPr>
          <w:rFonts w:ascii="Times New Roman" w:hAnsi="Times New Roman"/>
          <w:sz w:val="28"/>
          <w:szCs w:val="28"/>
        </w:rPr>
        <w:t>класс: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6D30196F">
        <w:rPr>
          <w:rFonts w:ascii="Times New Roman" w:hAnsi="Times New Roman"/>
          <w:sz w:val="28"/>
          <w:szCs w:val="28"/>
        </w:rPr>
        <w:t>8и</w:t>
      </w:r>
    </w:p>
    <w:p w14:paraId="0753E268" w14:textId="6FBD2115" w:rsidR="43EF102C" w:rsidRDefault="6D30196F" w:rsidP="43EF102C">
      <w:pPr>
        <w:spacing w:after="0" w:line="240" w:lineRule="auto"/>
      </w:pPr>
      <w:r w:rsidRPr="6D30196F">
        <w:rPr>
          <w:rFonts w:ascii="Times New Roman" w:hAnsi="Times New Roman"/>
          <w:sz w:val="28"/>
          <w:szCs w:val="28"/>
        </w:rPr>
        <w:t>количество часов (в год):</w:t>
      </w:r>
      <w:r w:rsidR="43EF102C">
        <w:tab/>
      </w:r>
      <w:r w:rsidR="43EF102C">
        <w:tab/>
      </w:r>
      <w:r w:rsidRPr="6D30196F">
        <w:rPr>
          <w:rFonts w:ascii="Times New Roman" w:hAnsi="Times New Roman"/>
          <w:sz w:val="28"/>
          <w:szCs w:val="28"/>
        </w:rPr>
        <w:t>70</w:t>
      </w:r>
    </w:p>
    <w:p w14:paraId="16DD2548" w14:textId="33458403" w:rsidR="43EF102C" w:rsidRDefault="6D30196F" w:rsidP="43EF102C">
      <w:pPr>
        <w:spacing w:after="0" w:line="240" w:lineRule="auto"/>
      </w:pPr>
      <w:r w:rsidRPr="6D30196F">
        <w:rPr>
          <w:rFonts w:ascii="Times New Roman" w:hAnsi="Times New Roman"/>
          <w:sz w:val="28"/>
          <w:szCs w:val="28"/>
        </w:rPr>
        <w:t>количество часов (в неделю):</w:t>
      </w:r>
      <w:r w:rsidR="000013B1">
        <w:rPr>
          <w:rFonts w:ascii="Times New Roman" w:hAnsi="Times New Roman"/>
          <w:sz w:val="28"/>
          <w:szCs w:val="28"/>
        </w:rPr>
        <w:tab/>
      </w:r>
      <w:r w:rsidR="43EF102C">
        <w:tab/>
      </w:r>
      <w:r w:rsidRPr="6D30196F">
        <w:rPr>
          <w:rFonts w:ascii="Times New Roman" w:hAnsi="Times New Roman"/>
          <w:sz w:val="28"/>
          <w:szCs w:val="28"/>
        </w:rPr>
        <w:t>2</w:t>
      </w:r>
    </w:p>
    <w:p w14:paraId="5716AB0B" w14:textId="5A6DF5FA" w:rsidR="43EF102C" w:rsidRDefault="6D30196F" w:rsidP="43EF102C">
      <w:pPr>
        <w:spacing w:after="0" w:line="240" w:lineRule="auto"/>
      </w:pPr>
      <w:r w:rsidRPr="6D30196F">
        <w:rPr>
          <w:rFonts w:ascii="Times New Roman" w:hAnsi="Times New Roman"/>
          <w:sz w:val="28"/>
          <w:szCs w:val="28"/>
        </w:rPr>
        <w:t>срок реализации: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6D30196F">
        <w:rPr>
          <w:rFonts w:ascii="Times New Roman" w:hAnsi="Times New Roman"/>
          <w:sz w:val="28"/>
          <w:szCs w:val="28"/>
        </w:rPr>
        <w:t>1 год (2022-2023 учебный год)</w:t>
      </w:r>
    </w:p>
    <w:p w14:paraId="6ACDAFE4" w14:textId="20F5107F" w:rsidR="43EF102C" w:rsidRDefault="6D30196F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6D30196F">
        <w:rPr>
          <w:rFonts w:ascii="Times New Roman" w:hAnsi="Times New Roman"/>
          <w:sz w:val="28"/>
          <w:szCs w:val="28"/>
        </w:rPr>
        <w:t>учитель: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6D30196F">
        <w:rPr>
          <w:rFonts w:ascii="Times New Roman" w:hAnsi="Times New Roman"/>
          <w:sz w:val="28"/>
          <w:szCs w:val="28"/>
        </w:rPr>
        <w:t>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43EF102C">
      <w:pPr>
        <w:spacing w:after="0" w:line="240" w:lineRule="auto"/>
        <w:ind w:left="2832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3F0B" w14:textId="1189DCCC" w:rsidR="6D30196F" w:rsidRDefault="6D30196F" w:rsidP="6D3019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E8FB" w14:textId="7869F080" w:rsidR="6D30196F" w:rsidRDefault="6D30196F" w:rsidP="6D3019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4C8756C3" w:rsidR="43EF102C" w:rsidRDefault="6D30196F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6D30196F">
        <w:rPr>
          <w:rFonts w:ascii="Times New Roman" w:hAnsi="Times New Roman"/>
          <w:b/>
          <w:bCs/>
          <w:sz w:val="24"/>
          <w:szCs w:val="24"/>
        </w:rPr>
        <w:t xml:space="preserve">Психолого-педагогическая характеристика учащейся </w:t>
      </w:r>
      <w:proofErr w:type="spellStart"/>
      <w:r w:rsidRPr="6D30196F">
        <w:rPr>
          <w:rFonts w:ascii="Times New Roman" w:hAnsi="Times New Roman"/>
          <w:b/>
          <w:bCs/>
          <w:sz w:val="24"/>
          <w:szCs w:val="24"/>
        </w:rPr>
        <w:t>Гимбатовой</w:t>
      </w:r>
      <w:proofErr w:type="spellEnd"/>
      <w:r w:rsidRPr="6D30196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6D30196F">
        <w:rPr>
          <w:rFonts w:ascii="Times New Roman" w:hAnsi="Times New Roman"/>
          <w:b/>
          <w:bCs/>
          <w:sz w:val="24"/>
          <w:szCs w:val="24"/>
        </w:rPr>
        <w:t>Хадижат</w:t>
      </w:r>
      <w:proofErr w:type="spellEnd"/>
    </w:p>
    <w:p w14:paraId="7428CAB2" w14:textId="283B1A95" w:rsidR="43EF102C" w:rsidRDefault="6D30196F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6D30196F">
        <w:rPr>
          <w:rFonts w:ascii="Times New Roman" w:hAnsi="Times New Roman"/>
          <w:b/>
          <w:bCs/>
          <w:sz w:val="24"/>
          <w:szCs w:val="24"/>
        </w:rPr>
        <w:t>8 И класса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30C446" w14:textId="1DC08065" w:rsidR="43EF102C" w:rsidRDefault="6D30196F" w:rsidP="6D30196F">
      <w:pPr>
        <w:pStyle w:val="a5"/>
        <w:spacing w:beforeAutospacing="0" w:after="0" w:afterAutospacing="0"/>
        <w:ind w:firstLine="708"/>
        <w:jc w:val="both"/>
        <w:rPr>
          <w:color w:val="000000" w:themeColor="text1"/>
          <w:szCs w:val="24"/>
        </w:rPr>
      </w:pPr>
      <w:r w:rsidRPr="6D30196F">
        <w:rPr>
          <w:color w:val="000000" w:themeColor="text1"/>
          <w:szCs w:val="24"/>
        </w:rPr>
        <w:t>У учащейся наблюдается медленный темп деятельности. Испытывает трудности в переходе с устных форм работы на письменные. По прослушанному тексту отвечает на вопросы односложно. Программный материал усваивает слабо. не умеет длительно сосредоточиться на каком-либо деле. Характеризуется бедностью биологического словарного запаса. Многие слова употребляются в приближенном значении. Не усвоены обобщенные понятия. В процессе выполнения комплексной работы с текстом выяснилось, что </w:t>
      </w:r>
      <w:proofErr w:type="spellStart"/>
      <w:r w:rsidRPr="6D30196F">
        <w:rPr>
          <w:color w:val="000000" w:themeColor="text1"/>
          <w:szCs w:val="24"/>
        </w:rPr>
        <w:t>Хадижат</w:t>
      </w:r>
      <w:proofErr w:type="spellEnd"/>
      <w:r w:rsidRPr="6D30196F">
        <w:rPr>
          <w:color w:val="000000" w:themeColor="text1"/>
          <w:szCs w:val="24"/>
        </w:rPr>
        <w:t xml:space="preserve"> слабо владеет соответствующими этапу обучения регулятивными универсальными учебными действиями (умением планировать необходимые действия, контролировать процесс и результат деятельности, вносить необходимые коррективы, осознавать возникшие трудности, оценивать деятельность), коммуникативными универсальными учебными действиями (умеет вступать в диалог с учителем, сверстниками, участвовать в беседе, соблюдая правила речевого поведения, формулировать собственные мысли, высказывать и обосновывать свою точку зрения, осуществлять совместную деятельность в группах с учетом конкретных учебно-познавательных задач), познавательными универсальными учебными действиями (умеет самостоятельно находить и извлекать нужную информацию,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выводы). </w:t>
      </w:r>
    </w:p>
    <w:p w14:paraId="1C1BD5C7" w14:textId="7DDF23B7" w:rsidR="43EF102C" w:rsidRDefault="6D30196F" w:rsidP="6D30196F">
      <w:pPr>
        <w:pStyle w:val="a5"/>
        <w:spacing w:beforeAutospacing="0" w:after="0" w:afterAutospacing="0"/>
        <w:jc w:val="both"/>
        <w:rPr>
          <w:color w:val="000000" w:themeColor="text1"/>
          <w:szCs w:val="24"/>
        </w:rPr>
      </w:pPr>
      <w:r w:rsidRPr="6D30196F">
        <w:rPr>
          <w:i/>
          <w:iCs/>
          <w:color w:val="000000" w:themeColor="text1"/>
          <w:szCs w:val="24"/>
        </w:rPr>
        <w:t xml:space="preserve">Уделить внимание на уровень </w:t>
      </w:r>
      <w:proofErr w:type="spellStart"/>
      <w:r w:rsidRPr="6D30196F">
        <w:rPr>
          <w:i/>
          <w:iCs/>
          <w:color w:val="000000" w:themeColor="text1"/>
          <w:szCs w:val="24"/>
        </w:rPr>
        <w:t>сформированности</w:t>
      </w:r>
      <w:proofErr w:type="spellEnd"/>
      <w:r w:rsidRPr="6D30196F">
        <w:rPr>
          <w:i/>
          <w:iCs/>
          <w:color w:val="000000" w:themeColor="text1"/>
          <w:szCs w:val="24"/>
        </w:rPr>
        <w:t xml:space="preserve"> у учащегося умения пользоваться предоставляемой им информацией, умения самостоятельно искать пути решения поставленной задачи</w:t>
      </w:r>
      <w:bookmarkStart w:id="0" w:name="_Int_EOyRB1TV"/>
      <w:r w:rsidRPr="6D30196F">
        <w:rPr>
          <w:i/>
          <w:iCs/>
          <w:color w:val="000000" w:themeColor="text1"/>
          <w:szCs w:val="24"/>
        </w:rPr>
        <w:t>; Увеличивать</w:t>
      </w:r>
      <w:bookmarkEnd w:id="0"/>
      <w:r w:rsidRPr="6D30196F">
        <w:rPr>
          <w:i/>
          <w:iCs/>
          <w:color w:val="000000" w:themeColor="text1"/>
          <w:szCs w:val="24"/>
        </w:rPr>
        <w:t xml:space="preserve"> степень самостоятельности, вводить в обучение задания, в основе которых лежат элементы творческой или поисковой деятельности.</w:t>
      </w:r>
    </w:p>
    <w:p w14:paraId="7B812047" w14:textId="1D3D044D" w:rsidR="43EF102C" w:rsidRDefault="43EF102C" w:rsidP="6D30196F">
      <w:pPr>
        <w:pStyle w:val="a5"/>
        <w:spacing w:beforeAutospacing="0" w:after="0" w:afterAutospacing="0"/>
        <w:ind w:firstLine="708"/>
        <w:jc w:val="both"/>
        <w:rPr>
          <w:i/>
          <w:iCs/>
          <w:color w:val="000000" w:themeColor="text1"/>
          <w:szCs w:val="24"/>
        </w:rPr>
      </w:pPr>
    </w:p>
    <w:p w14:paraId="53CB266F" w14:textId="11CCC077" w:rsidR="43EF102C" w:rsidRDefault="6D30196F" w:rsidP="6D30196F">
      <w:pPr>
        <w:spacing w:after="0" w:line="240" w:lineRule="auto"/>
        <w:ind w:firstLine="708"/>
        <w:jc w:val="both"/>
      </w:pPr>
      <w:r w:rsidRPr="6D30196F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45559883" w14:textId="14C89AFB" w:rsidR="43EF102C" w:rsidRDefault="6D30196F" w:rsidP="6D30196F">
      <w:pPr>
        <w:tabs>
          <w:tab w:val="left" w:pos="567"/>
        </w:tabs>
        <w:spacing w:after="0" w:line="240" w:lineRule="auto"/>
        <w:ind w:firstLine="708"/>
        <w:jc w:val="both"/>
      </w:pPr>
      <w:r w:rsidRPr="6D30196F">
        <w:rPr>
          <w:rFonts w:ascii="Segoe UI" w:eastAsia="Segoe UI" w:hAnsi="Segoe UI" w:cs="Segoe UI"/>
          <w:i/>
          <w:iCs/>
          <w:color w:val="000000" w:themeColor="text1"/>
          <w:sz w:val="24"/>
          <w:szCs w:val="24"/>
        </w:rPr>
        <w:t xml:space="preserve">  </w:t>
      </w:r>
      <w:r w:rsidRPr="6D30196F">
        <w:rPr>
          <w:rFonts w:eastAsia="Calibri" w:cs="Calibri"/>
          <w:color w:val="000000" w:themeColor="text1"/>
          <w:szCs w:val="22"/>
        </w:rPr>
        <w:t xml:space="preserve"> </w:t>
      </w:r>
      <w:r w:rsidRPr="6D30196F">
        <w:t xml:space="preserve"> </w:t>
      </w:r>
    </w:p>
    <w:p w14:paraId="505BB3D7" w14:textId="466DE74C" w:rsidR="43EF102C" w:rsidRDefault="43EF102C" w:rsidP="6D30196F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787B711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 xml:space="preserve">Органы осязания, обоняния и вкуса. Значение, расположение и устройство органов осязания, обоняния и </w:t>
      </w:r>
      <w:r>
        <w:rPr>
          <w:rFonts w:ascii="Times New Roman" w:hAnsi="Times New Roman"/>
          <w:color w:val="231F20"/>
          <w:sz w:val="24"/>
        </w:rPr>
        <w:lastRenderedPageBreak/>
        <w:t>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4CE0A41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2EBF3C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D98A12B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2946DB82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1251DF8A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6D30196F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6D30196F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6D30196F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6D30196F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6CE4EA5B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6D30196F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2420AA7A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08BB27C9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6D30196F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545D9F4C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229EEEBC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6D30196F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33155FF8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6D30196F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361EB943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6D30196F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0008ED8F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24.09.2022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51898E76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30.09.2022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6D30196F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2381C200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1475C0D8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6D30196F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64EC3882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5B5AB5C1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13B14A03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117EE8B4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6D30196F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11DCC3B1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22.10.2022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6D30196F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C63A093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6D30196F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49D62AAC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29.10.2022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6D30196F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6AE74F2E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11.11.2022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013CA9FA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12.11.2022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6D30196F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65F2E6FF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49C58D8C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6D30196F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2EC232B4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6D30196F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6D30196F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5A35416C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26.11.2022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4F56348F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1156C792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6D30196F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0B29A18A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09.12.2022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6D30196F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5B128E51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10.12.2022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66BC3553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6D30196F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63CA8A61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17.12.2022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6D30196F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36E7CE7A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6D30196F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7A4889FA" w:rsidR="003E5C43" w:rsidRPr="00BD7838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24.12.2022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6D30196F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52159730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13.01.2023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7AA18D25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14.01.2023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6D30196F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1BCBEB2D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6D30196F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06CB2BE2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6D30196F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05B48C94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6D30196F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6D30196F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15E4BCE1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28.01.2023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6D30196F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7D36B9C4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6D30196F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75634580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6D30196F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6D30196F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5E17903E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10.02.2023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6D30196F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7A7450F5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6D30196F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3E717431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4EBDF373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6D30196F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587BDFE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6D30196F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6D30196F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7373F0B2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25.02.2023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6D30196F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38574475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6D30196F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784459F2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4D3AC56B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6D30196F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4C4A0A44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6D30196F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6D30196F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0888C23B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534AAA42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18.03.2023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5242B724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6D30196F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42882BC8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25.03.2023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0E7F1898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6D30196F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769A9B5D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6D30196F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781A6FB9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61CADBF9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6D30196F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12D968C2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6D30196F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66D80C44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22.04.2023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6D30196F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1C2EF5BC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6D30196F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4DCBD773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29.04.2023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43F514B0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6D30196F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08A21186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06.05.2023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6D30196F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2735C8A4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6D30196F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6D30196F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05738763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6D30196F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19676E70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19.05.2023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6D30196F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0E3428B8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6D30196F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16C8B3C7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6D30196F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18E44E4F" w:rsidR="003E5C43" w:rsidRDefault="6D30196F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6D30196F">
              <w:rPr>
                <w:rFonts w:ascii="Times New Roman" w:hAnsi="Times New Roman"/>
                <w:sz w:val="24"/>
                <w:szCs w:val="24"/>
              </w:rPr>
              <w:t>27.05.2023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052D48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6FC4A0D" w14:textId="20FCD62E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F0CA62" w14:textId="77777777" w:rsidR="003E5C43" w:rsidRDefault="003E5C43">
      <w:pPr>
        <w:rPr>
          <w:sz w:val="24"/>
        </w:rPr>
      </w:pPr>
    </w:p>
    <w:p w14:paraId="44BA3426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5D53C2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B1D1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841E4F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11A9A3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EE333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D6BC7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3508331" w14:textId="4078D7E2" w:rsidR="003E5C43" w:rsidRDefault="003E5C43">
      <w:pPr>
        <w:rPr>
          <w:rFonts w:ascii="Times New Roman" w:hAnsi="Times New Roman"/>
          <w:b/>
          <w:sz w:val="28"/>
        </w:rPr>
      </w:pPr>
      <w:bookmarkStart w:id="1" w:name="_GoBack"/>
      <w:bookmarkEnd w:id="1"/>
    </w:p>
    <w:sectPr w:rsidR="003E5C43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EOyRB1TV" int2:invalidationBookmarkName="" int2:hashCode="kKqvsn5VZkkCdy" int2:id="HwXFbEwg">
      <int2:state int2:type="LegacyProofing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013B1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836295"/>
    <w:rsid w:val="00903374"/>
    <w:rsid w:val="00970534"/>
    <w:rsid w:val="009903EA"/>
    <w:rsid w:val="00B979E4"/>
    <w:rsid w:val="00BD7838"/>
    <w:rsid w:val="00C5417D"/>
    <w:rsid w:val="00DB26A1"/>
    <w:rsid w:val="00E73164"/>
    <w:rsid w:val="43EF102C"/>
    <w:rsid w:val="6D30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67253553f645458a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6891</Words>
  <Characters>39284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12</cp:revision>
  <cp:lastPrinted>2022-12-05T11:30:00Z</cp:lastPrinted>
  <dcterms:created xsi:type="dcterms:W3CDTF">2022-06-05T13:11:00Z</dcterms:created>
  <dcterms:modified xsi:type="dcterms:W3CDTF">2022-12-05T11:30:00Z</dcterms:modified>
</cp:coreProperties>
</file>