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7866442B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9B7797" w14:textId="59B1A818" w:rsidR="43EF102C" w:rsidRDefault="7916098F" w:rsidP="43EF102C">
      <w:pPr>
        <w:spacing w:after="0" w:line="240" w:lineRule="auto"/>
      </w:pPr>
      <w:proofErr w:type="gramStart"/>
      <w:r w:rsidRPr="7916098F">
        <w:rPr>
          <w:rFonts w:ascii="Times New Roman" w:hAnsi="Times New Roman"/>
          <w:sz w:val="28"/>
          <w:szCs w:val="28"/>
        </w:rPr>
        <w:t xml:space="preserve">предмет:   </w:t>
      </w:r>
      <w:proofErr w:type="gramEnd"/>
      <w:r w:rsidRPr="7916098F">
        <w:rPr>
          <w:rFonts w:ascii="Times New Roman" w:hAnsi="Times New Roman"/>
          <w:sz w:val="28"/>
          <w:szCs w:val="28"/>
        </w:rPr>
        <w:t xml:space="preserve">                                Биология</w:t>
      </w:r>
    </w:p>
    <w:p w14:paraId="7A3FE230" w14:textId="4AF53659" w:rsidR="43EF102C" w:rsidRDefault="7916098F" w:rsidP="43EF102C">
      <w:pPr>
        <w:spacing w:after="0" w:line="240" w:lineRule="auto"/>
      </w:pPr>
      <w:proofErr w:type="gramStart"/>
      <w:r w:rsidRPr="7916098F">
        <w:rPr>
          <w:rFonts w:ascii="Times New Roman" w:hAnsi="Times New Roman"/>
          <w:sz w:val="28"/>
          <w:szCs w:val="28"/>
        </w:rPr>
        <w:t xml:space="preserve">класс:   </w:t>
      </w:r>
      <w:proofErr w:type="gramEnd"/>
      <w:r w:rsidRPr="7916098F">
        <w:rPr>
          <w:rFonts w:ascii="Times New Roman" w:hAnsi="Times New Roman"/>
          <w:sz w:val="28"/>
          <w:szCs w:val="28"/>
        </w:rPr>
        <w:t xml:space="preserve">                                    8к</w:t>
      </w:r>
    </w:p>
    <w:p w14:paraId="0753E268" w14:textId="5F070D3D" w:rsidR="43EF102C" w:rsidRDefault="7916098F" w:rsidP="43EF102C">
      <w:pPr>
        <w:spacing w:after="0" w:line="240" w:lineRule="auto"/>
      </w:pPr>
      <w:r w:rsidRPr="7916098F">
        <w:rPr>
          <w:rFonts w:ascii="Times New Roman" w:hAnsi="Times New Roman"/>
          <w:sz w:val="28"/>
          <w:szCs w:val="28"/>
        </w:rPr>
        <w:t>количество часов (в год</w:t>
      </w:r>
      <w:proofErr w:type="gramStart"/>
      <w:r w:rsidRPr="7916098F">
        <w:rPr>
          <w:rFonts w:ascii="Times New Roman" w:hAnsi="Times New Roman"/>
          <w:sz w:val="28"/>
          <w:szCs w:val="28"/>
        </w:rPr>
        <w:t xml:space="preserve">):   </w:t>
      </w:r>
      <w:proofErr w:type="gramEnd"/>
      <w:r w:rsidRPr="7916098F">
        <w:rPr>
          <w:rFonts w:ascii="Times New Roman" w:hAnsi="Times New Roman"/>
          <w:sz w:val="28"/>
          <w:szCs w:val="28"/>
        </w:rPr>
        <w:t xml:space="preserve">    70</w:t>
      </w:r>
    </w:p>
    <w:p w14:paraId="16DD2548" w14:textId="7644214C" w:rsidR="43EF102C" w:rsidRDefault="7916098F" w:rsidP="43EF102C">
      <w:pPr>
        <w:spacing w:after="0" w:line="240" w:lineRule="auto"/>
      </w:pPr>
      <w:r w:rsidRPr="7916098F">
        <w:rPr>
          <w:rFonts w:ascii="Times New Roman" w:hAnsi="Times New Roman"/>
          <w:sz w:val="28"/>
          <w:szCs w:val="28"/>
        </w:rPr>
        <w:t>количество часов (в неделю): 2</w:t>
      </w:r>
    </w:p>
    <w:p w14:paraId="5716AB0B" w14:textId="61A7A19A" w:rsidR="43EF102C" w:rsidRDefault="7916098F" w:rsidP="43EF102C">
      <w:pPr>
        <w:spacing w:after="0" w:line="240" w:lineRule="auto"/>
      </w:pPr>
      <w:r w:rsidRPr="7916098F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7916098F">
        <w:rPr>
          <w:rFonts w:ascii="Times New Roman" w:hAnsi="Times New Roman"/>
          <w:sz w:val="28"/>
          <w:szCs w:val="28"/>
        </w:rPr>
        <w:t xml:space="preserve">реализации:   </w:t>
      </w:r>
      <w:proofErr w:type="gramEnd"/>
      <w:r w:rsidRPr="7916098F">
        <w:rPr>
          <w:rFonts w:ascii="Times New Roman" w:hAnsi="Times New Roman"/>
          <w:sz w:val="28"/>
          <w:szCs w:val="28"/>
        </w:rPr>
        <w:t xml:space="preserve">                  1 год (2022-2023 учебный год)</w:t>
      </w:r>
    </w:p>
    <w:p w14:paraId="6ACDAFE4" w14:textId="16502277" w:rsidR="43EF102C" w:rsidRDefault="7916098F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7916098F">
        <w:rPr>
          <w:rFonts w:ascii="Times New Roman" w:hAnsi="Times New Roman"/>
          <w:sz w:val="28"/>
          <w:szCs w:val="28"/>
        </w:rPr>
        <w:t xml:space="preserve">учитель:   </w:t>
      </w:r>
      <w:proofErr w:type="gramEnd"/>
      <w:r w:rsidRPr="7916098F">
        <w:rPr>
          <w:rFonts w:ascii="Times New Roman" w:hAnsi="Times New Roman"/>
          <w:sz w:val="28"/>
          <w:szCs w:val="28"/>
        </w:rPr>
        <w:t xml:space="preserve">                                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00970515">
      <w:pPr>
        <w:spacing w:after="0" w:line="240" w:lineRule="auto"/>
        <w:ind w:left="2832" w:firstLine="708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00970515">
      <w:pPr>
        <w:spacing w:after="0" w:line="240" w:lineRule="auto"/>
        <w:ind w:left="2832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00970515">
      <w:pPr>
        <w:spacing w:after="0" w:line="240" w:lineRule="auto"/>
        <w:ind w:left="2832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00970515">
      <w:pPr>
        <w:spacing w:after="0" w:line="240" w:lineRule="auto"/>
        <w:ind w:left="2832" w:firstLine="708"/>
        <w:jc w:val="both"/>
      </w:pPr>
      <w:bookmarkStart w:id="0" w:name="_GoBack"/>
      <w:bookmarkEnd w:id="0"/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3F0B" w14:textId="1189DCCC" w:rsidR="7916098F" w:rsidRDefault="7916098F" w:rsidP="7916098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E8FB" w14:textId="7869F080" w:rsidR="7916098F" w:rsidRDefault="7916098F" w:rsidP="7916098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2D82CD2C" w:rsidR="43EF102C" w:rsidRDefault="7916098F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7916098F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 учащегося Лукина Даниила</w:t>
      </w:r>
    </w:p>
    <w:p w14:paraId="7428CAB2" w14:textId="588CEE93" w:rsidR="43EF102C" w:rsidRDefault="43EF102C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43EF102C">
        <w:rPr>
          <w:rFonts w:ascii="Times New Roman" w:hAnsi="Times New Roman"/>
          <w:b/>
          <w:bCs/>
          <w:sz w:val="24"/>
          <w:szCs w:val="24"/>
        </w:rPr>
        <w:t xml:space="preserve">8 </w:t>
      </w:r>
      <w:proofErr w:type="gramStart"/>
      <w:r w:rsidRPr="43EF102C">
        <w:rPr>
          <w:rFonts w:ascii="Times New Roman" w:hAnsi="Times New Roman"/>
          <w:b/>
          <w:bCs/>
          <w:sz w:val="24"/>
          <w:szCs w:val="24"/>
        </w:rPr>
        <w:t>К класса</w:t>
      </w:r>
      <w:proofErr w:type="gramEnd"/>
      <w:r w:rsidRPr="43EF102C">
        <w:rPr>
          <w:rFonts w:ascii="Times New Roman" w:hAnsi="Times New Roman"/>
          <w:b/>
          <w:bCs/>
          <w:sz w:val="24"/>
          <w:szCs w:val="24"/>
        </w:rPr>
        <w:t xml:space="preserve">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559883" w14:textId="2E0E883A" w:rsidR="43EF102C" w:rsidRDefault="7916098F" w:rsidP="7916098F">
      <w:pPr>
        <w:tabs>
          <w:tab w:val="left" w:pos="567"/>
        </w:tabs>
        <w:spacing w:after="0" w:line="240" w:lineRule="auto"/>
        <w:ind w:firstLine="708"/>
        <w:jc w:val="both"/>
      </w:pPr>
      <w:r w:rsidRPr="7916098F">
        <w:rPr>
          <w:rFonts w:ascii="Times New Roman" w:hAnsi="Times New Roman"/>
          <w:color w:val="000000" w:themeColor="text1"/>
          <w:sz w:val="24"/>
          <w:szCs w:val="24"/>
          <w:u w:val="single"/>
        </w:rPr>
        <w:t>Лукин Даниил</w:t>
      </w:r>
      <w:r w:rsidRPr="791609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7916098F">
        <w:rPr>
          <w:rFonts w:ascii="Segoe UI" w:eastAsia="Segoe UI" w:hAnsi="Segoe UI" w:cs="Segoe UI"/>
          <w:color w:val="000000" w:themeColor="text1"/>
          <w:sz w:val="24"/>
          <w:szCs w:val="24"/>
        </w:rPr>
        <w:t xml:space="preserve">наблюдается медленный темп деятельности. На уроках спокоен, в ходе урока принимает активное участие. С интересом работает при поиске информации в дополнительных источниках.  Испытывает трудности в переходе с устных форм работы на письменные. В момент выполнения задания необходимо Даниилу указать на какие-либо дополнения, уточнения, инструкции. ЕМУ может облегчить учебную деятельность использование зрительных опор на уроке (картин, схем, таблиц). </w:t>
      </w:r>
      <w:r w:rsidRPr="7916098F">
        <w:rPr>
          <w:rFonts w:ascii="Segoe UI" w:eastAsia="Segoe UI" w:hAnsi="Segoe UI" w:cs="Segoe UI"/>
          <w:i/>
          <w:iCs/>
          <w:color w:val="000000" w:themeColor="text1"/>
          <w:sz w:val="24"/>
          <w:szCs w:val="24"/>
        </w:rPr>
        <w:t xml:space="preserve">Уделить внимание работы с текстом (выделять главное, работать с терминами), личностно-ориентированный подход, создание ситуации успеха, работа с дополнительными информационными источниками (поиск, анализ информации)  </w:t>
      </w:r>
      <w:r w:rsidRPr="7916098F">
        <w:rPr>
          <w:rFonts w:eastAsia="Calibri" w:cs="Calibri"/>
          <w:color w:val="000000" w:themeColor="text1"/>
          <w:szCs w:val="22"/>
        </w:rPr>
        <w:t xml:space="preserve"> </w:t>
      </w:r>
      <w:r w:rsidRPr="7916098F">
        <w:t xml:space="preserve"> </w:t>
      </w:r>
    </w:p>
    <w:p w14:paraId="505BB3D7" w14:textId="466DE74C" w:rsidR="43EF102C" w:rsidRDefault="43EF102C" w:rsidP="7916098F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F9B90" w14:textId="53E1CD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5B859" w14:textId="0602A23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2E0134F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lastRenderedPageBreak/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lastRenderedPageBreak/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>Органы осязания, обоняния и вкуса. Значение, расположение и устройство органов осязания, обоняния и 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2946DB82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5997CC1D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10FFD37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B69937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FE9F23F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77777777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43EF102C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43EF102C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43EF102C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43EF102C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22D4FE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43EF102C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015414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73EC8C5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43EF102C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0FB409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443B35F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0C3D7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43EF102C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5BC40D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43EF102C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6C94336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0B0955B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43EF102C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7704FB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21338FB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43EF102C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1D6EB18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4CD84F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2FAA352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5214CA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43EF102C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6B3002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25.10.2022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43EF102C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38595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3635A03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43EF102C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3D41BB3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7A5E33C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43EF102C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2B1E28F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7A5385F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43EF102C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5384D3E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43EF102C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43EF102C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6390A8A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00571C2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080E264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6E2E579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43EF102C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2D955D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0F27C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718236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43EF102C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5A8865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43EF102C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52B51F8D" w:rsidR="003E5C43" w:rsidRPr="00BD7838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43EF102C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2383050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32CF42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43EF102C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012779C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43EF102C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4E2184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43EF102C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22BEB33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43EF102C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43EF102C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AD71F4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43EF102C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5B31BD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43EF102C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F1DF51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43EF102C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43EF102C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8D3AAC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43EF102C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5AE9A8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43EF102C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2FF3C84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2514FCA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43EF102C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6E4147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43EF102C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43EF102C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263CA19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43EF102C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7EACC3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43EF102C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6F6AA5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3F7CDFE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43EF102C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777733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43EF102C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43EF102C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670F1B3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6753C2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750098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43EF102C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754AEA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3FA0504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43EF102C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21741B4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43EF102C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2B6C3C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56BEFD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43EF102C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52F42D7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43EF102C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1114301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43EF102C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B0841B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43EF102C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5D3F34B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7CD38D0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43EF102C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5747911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43EF102C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6CFFEF4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43EF102C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43EF102C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2097B95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43EF102C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619E46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43EF102C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717F8DC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43EF102C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67A7D2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36D128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052D48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D3F89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780AF0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6FC4A0D" w14:textId="77777777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D6BC7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34A104A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14B4F8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AABDC09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82752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CA203B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EEB5C6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7EFE50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4D1216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517F98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4223B4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39CD7A1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A9A260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DD220F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B186A81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F24943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AD9664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BF7610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5DC539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3E83F1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FBAD36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DC4596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1E9947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413D85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A7A9836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7CE7A2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C7DA92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904CC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40360B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7A1CA9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A55251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F6D2C4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1F27C8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9B88F8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45C11D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B40E7A7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FF7D4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87B69A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3A0829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9CA892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BB6F150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433887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CCB938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96B98D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44BE600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EE3B4B9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7D63EA2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2E608E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74E47F7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A852BA6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299FC0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3508331" w14:textId="77777777" w:rsidR="003E5C43" w:rsidRDefault="003E5C43">
      <w:pPr>
        <w:rPr>
          <w:rFonts w:ascii="Times New Roman" w:hAnsi="Times New Roman"/>
          <w:b/>
          <w:sz w:val="28"/>
        </w:rPr>
      </w:pPr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70515"/>
    <w:rsid w:val="00970534"/>
    <w:rsid w:val="009903EA"/>
    <w:rsid w:val="00B979E4"/>
    <w:rsid w:val="00BD7838"/>
    <w:rsid w:val="00C5417D"/>
    <w:rsid w:val="00DB26A1"/>
    <w:rsid w:val="00E73164"/>
    <w:rsid w:val="43EF102C"/>
    <w:rsid w:val="7916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6763</Words>
  <Characters>38551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2022-12-05T09:04:00Z</cp:lastPrinted>
  <dcterms:created xsi:type="dcterms:W3CDTF">2022-06-05T13:11:00Z</dcterms:created>
  <dcterms:modified xsi:type="dcterms:W3CDTF">2022-12-05T09:07:00Z</dcterms:modified>
</cp:coreProperties>
</file>