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F0" w:rsidRDefault="004E0F03" w:rsidP="004E0F03">
      <w:pPr>
        <w:jc w:val="center"/>
      </w:pPr>
      <w:bookmarkStart w:id="0" w:name="_GoBack"/>
      <w:bookmarkEnd w:id="0"/>
      <w:r>
        <w:t>Темы по музыке во 2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6274"/>
      </w:tblGrid>
      <w:tr w:rsidR="004E0F03" w:rsidRPr="004E0F03" w:rsidTr="004E0F03">
        <w:trPr>
          <w:trHeight w:val="300"/>
        </w:trPr>
        <w:tc>
          <w:tcPr>
            <w:tcW w:w="3074" w:type="dxa"/>
            <w:noWrap/>
          </w:tcPr>
          <w:p w:rsidR="004E0F03" w:rsidRPr="004E0F03" w:rsidRDefault="004E0F03">
            <w:r>
              <w:t>Раздел</w:t>
            </w:r>
          </w:p>
        </w:tc>
        <w:tc>
          <w:tcPr>
            <w:tcW w:w="6281" w:type="dxa"/>
            <w:noWrap/>
          </w:tcPr>
          <w:p w:rsidR="004E0F03" w:rsidRPr="004E0F03" w:rsidRDefault="004E0F03">
            <w:r>
              <w:t>Тема урока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>Россия - Родина моя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Мелодия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Здравствуй, родина моя! Моя Россия!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Гимн России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>День, полный событий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Музыкальные инструменты (фортепиано)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Природа в музыке. Прогулка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Танцы, танцы, танцы…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Эти разные марши. Звучащие картины.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Расскажи сказку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Колыбельные. Мама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>О России петь- что стремиться в храм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Великий колокольный звон. Звучащие картины.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Святые земли русской. Александр Невский.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Святые земли русской. Сергий Радонежский.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Молитва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С Рождеством Христовым! Музыка на новогоднем празднике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>В музыкальном театре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Сказка будет впереди. Волшебная палочка дирижера.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Детский музыкальный театр. Опера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Балет. Театр оперы и балета.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Опера М.И. Глинки «Руслан и Людмила». Сцены из оперы. какое чудное мгновенье! Увертюра. Финал. 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Опера М.И. Глинки «Руслан и Людмила». Сцены из оперы. какое чудное мгновенье! Увертюра. Финал. 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>Гори, гори ясно, чтобы не погасло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Русские народные инструменты. Плясовые наигрыши. Разыграй песню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Музыка в народном стиле. Сочини песенку.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Русские народные праздники: проводы зимы.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Встреча весны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>В концертном зале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Симфоническая сказка. </w:t>
            </w:r>
            <w:proofErr w:type="spellStart"/>
            <w:r w:rsidRPr="004E0F03">
              <w:t>С.С.Прокофьев</w:t>
            </w:r>
            <w:proofErr w:type="spellEnd"/>
            <w:r w:rsidRPr="004E0F03">
              <w:t xml:space="preserve"> «Петя и волк»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Симфоническая сказка. </w:t>
            </w:r>
            <w:proofErr w:type="spellStart"/>
            <w:r w:rsidRPr="004E0F03">
              <w:t>С.С.Прокофьев</w:t>
            </w:r>
            <w:proofErr w:type="spellEnd"/>
            <w:r w:rsidRPr="004E0F03">
              <w:t xml:space="preserve"> «Петя и волк»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Сюита М.П. Мусоргского «Картинки с выставки». Музыкальное впечатление.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«Звучит нестареющий Моцарт». Симфония № 40. Увертюра.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«Звучит нестареющий Моцарт». Симфония № 40. Увертюра.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>
            <w:r w:rsidRPr="004E0F03">
              <w:t xml:space="preserve">Чтоб музыкантом быть, так надобно уменье  </w:t>
            </w:r>
          </w:p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Волшебный цветик- </w:t>
            </w:r>
            <w:proofErr w:type="spellStart"/>
            <w:r w:rsidRPr="004E0F03">
              <w:t>семицветик</w:t>
            </w:r>
            <w:proofErr w:type="spellEnd"/>
            <w:r w:rsidRPr="004E0F03">
              <w:t xml:space="preserve">. Музыкальные инструменты (орган). «И все это- </w:t>
            </w:r>
            <w:proofErr w:type="spellStart"/>
            <w:r w:rsidRPr="004E0F03">
              <w:t>И.С.Бах</w:t>
            </w:r>
            <w:proofErr w:type="spellEnd"/>
            <w:r w:rsidRPr="004E0F03">
              <w:t xml:space="preserve">» 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Все в движении. Попутная песня.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Музыка учит людей понимать друг друга.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Два лада. Легенда. Природа и музыка.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 xml:space="preserve">«Печаль моя светла…» «Первый» </w:t>
            </w:r>
          </w:p>
        </w:tc>
      </w:tr>
      <w:tr w:rsidR="004E0F03" w:rsidRPr="004E0F03" w:rsidTr="004E0F03">
        <w:trPr>
          <w:trHeight w:val="300"/>
        </w:trPr>
        <w:tc>
          <w:tcPr>
            <w:tcW w:w="3074" w:type="dxa"/>
            <w:noWrap/>
            <w:hideMark/>
          </w:tcPr>
          <w:p w:rsidR="004E0F03" w:rsidRPr="004E0F03" w:rsidRDefault="004E0F03"/>
        </w:tc>
        <w:tc>
          <w:tcPr>
            <w:tcW w:w="6281" w:type="dxa"/>
            <w:noWrap/>
            <w:hideMark/>
          </w:tcPr>
          <w:p w:rsidR="004E0F03" w:rsidRPr="004E0F03" w:rsidRDefault="004E0F03">
            <w:r w:rsidRPr="004E0F03">
              <w:t>Мир композитора (</w:t>
            </w:r>
            <w:proofErr w:type="spellStart"/>
            <w:r w:rsidRPr="004E0F03">
              <w:t>П.И.Чайковский</w:t>
            </w:r>
            <w:proofErr w:type="spellEnd"/>
            <w:r w:rsidRPr="004E0F03">
              <w:t xml:space="preserve">, </w:t>
            </w:r>
            <w:proofErr w:type="spellStart"/>
            <w:r w:rsidRPr="004E0F03">
              <w:t>С.С.Прокофьев</w:t>
            </w:r>
            <w:proofErr w:type="spellEnd"/>
            <w:r w:rsidRPr="004E0F03">
              <w:t xml:space="preserve">). Могут ли иссякнуть мелодии? </w:t>
            </w:r>
          </w:p>
        </w:tc>
      </w:tr>
    </w:tbl>
    <w:p w:rsidR="004E0F03" w:rsidRDefault="004E0F03"/>
    <w:sectPr w:rsidR="004E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5"/>
    <w:rsid w:val="00317C55"/>
    <w:rsid w:val="00396386"/>
    <w:rsid w:val="004E0F03"/>
    <w:rsid w:val="00F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55BD"/>
  <w15:chartTrackingRefBased/>
  <w15:docId w15:val="{7C095B8C-0A19-4C05-94A9-BB20C7C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2021-01-15T08:57:00Z</dcterms:created>
  <dcterms:modified xsi:type="dcterms:W3CDTF">2021-01-15T08:59:00Z</dcterms:modified>
</cp:coreProperties>
</file>